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75C35">
      <w:pPr>
        <w:bidi w:val="0"/>
        <w:jc w:val="center"/>
        <w:rPr>
          <w:rFonts w:hint="eastAsia" w:ascii="Times New Roman" w:hAnsi="Times New Roman" w:eastAsiaTheme="minorEastAsia"/>
          <w:b/>
          <w:bCs/>
          <w:sz w:val="28"/>
          <w:szCs w:val="36"/>
          <w:lang w:eastAsia="zh-CN"/>
        </w:rPr>
      </w:pPr>
      <w:r>
        <w:rPr>
          <w:rFonts w:hint="eastAsia" w:ascii="Times New Roman" w:hAnsi="Times New Roman"/>
          <w:b/>
          <w:bCs/>
          <w:sz w:val="28"/>
          <w:szCs w:val="36"/>
          <w:lang w:eastAsia="zh-CN"/>
        </w:rPr>
        <w:t>恒美</w:t>
      </w:r>
      <w:r>
        <w:rPr>
          <w:rFonts w:hint="default" w:ascii="Times New Roman" w:hAnsi="Times New Roman"/>
          <w:b/>
          <w:bCs/>
          <w:sz w:val="28"/>
          <w:szCs w:val="36"/>
        </w:rPr>
        <w:t>电位滴定</w:t>
      </w:r>
      <w:r>
        <w:rPr>
          <w:rFonts w:hint="eastAsia" w:ascii="Times New Roman" w:hAnsi="Times New Roman"/>
          <w:b/>
          <w:bCs/>
          <w:sz w:val="28"/>
          <w:szCs w:val="36"/>
          <w:lang w:eastAsia="zh-CN"/>
        </w:rPr>
        <w:t>仪</w:t>
      </w:r>
      <w:r>
        <w:rPr>
          <w:rFonts w:hint="default" w:ascii="Times New Roman" w:hAnsi="Times New Roman"/>
          <w:b/>
          <w:bCs/>
          <w:sz w:val="28"/>
          <w:szCs w:val="36"/>
        </w:rPr>
        <w:t>测定稻米中的脂肪酸值</w:t>
      </w:r>
      <w:r>
        <w:rPr>
          <w:rFonts w:hint="eastAsia" w:ascii="Times New Roman" w:hAnsi="Times New Roman"/>
          <w:b/>
          <w:bCs/>
          <w:sz w:val="28"/>
          <w:szCs w:val="36"/>
          <w:lang w:eastAsia="zh-CN"/>
        </w:rPr>
        <w:t>方案介绍</w:t>
      </w:r>
    </w:p>
    <w:p w14:paraId="68535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方案编号：HM-DW-004</w:t>
      </w:r>
    </w:p>
    <w:p w14:paraId="1190C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适用仪器：HM-D系列电位滴定仪（D1-D4通用，HM-DZF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谷物</w:t>
      </w:r>
      <w:r>
        <w:rPr>
          <w:rFonts w:hint="default" w:ascii="Times New Roman" w:hAnsi="Times New Roman"/>
          <w:sz w:val="22"/>
          <w:szCs w:val="28"/>
        </w:rPr>
        <w:t>脂肪酸值专用型）</w:t>
      </w:r>
    </w:p>
    <w:p w14:paraId="63B37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/>
        </w:rPr>
      </w:pPr>
      <w:r>
        <w:rPr>
          <w:rFonts w:hint="default" w:ascii="Times New Roman" w:hAnsi="Times New Roman"/>
          <w:sz w:val="22"/>
          <w:szCs w:val="28"/>
        </w:rPr>
        <w:t>发布日期：2026年2月14日</w:t>
      </w:r>
      <w:r>
        <w:rPr>
          <w:rFonts w:hint="default"/>
        </w:rPr>
        <w:pict>
          <v:rect id="_x0000_i1025" o:spt="1" style="height:0.85pt;width:432pt;" fillcolor="#0F1115" filled="t" stroked="f" coordsize="21600,21600" o:hr="t" o:hrstd="t" o:hrnoshade="t" o:hralign="center">
            <v:path/>
            <v:fill on="t" color2="#FFFFFF" focussize="0,0"/>
            <v:stroke on="f"/>
            <v:imagedata o:title=""/>
            <o:lock v:ext="edit" aspectratio="f"/>
            <w10:wrap type="none"/>
            <w10:anchorlock/>
          </v:rect>
        </w:pict>
      </w:r>
    </w:p>
    <w:p w14:paraId="772B35D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Lines="0" w:beforeAutospacing="0" w:after="40" w:afterLines="0" w:afterAutospacing="0" w:line="300" w:lineRule="auto"/>
        <w:jc w:val="both"/>
        <w:textAlignment w:val="auto"/>
        <w:outlineLvl w:val="3"/>
        <w:rPr>
          <w:rFonts w:hint="default" w:ascii="Times New Roman" w:hAnsi="Times New Roman" w:eastAsia="黑体" w:cstheme="minorBidi"/>
          <w:bCs w:val="0"/>
          <w:kern w:val="2"/>
          <w:sz w:val="24"/>
          <w:szCs w:val="22"/>
          <w:lang w:val="en-US" w:eastAsia="zh-CN" w:bidi="ar-SA"/>
        </w:rPr>
      </w:pPr>
      <w:r>
        <w:rPr>
          <w:rFonts w:hint="default" w:ascii="Times New Roman" w:hAnsi="Times New Roman" w:eastAsia="黑体" w:cstheme="minorBidi"/>
          <w:bCs w:val="0"/>
          <w:kern w:val="2"/>
          <w:sz w:val="24"/>
          <w:szCs w:val="22"/>
          <w:lang w:val="en-US" w:eastAsia="zh-CN" w:bidi="ar-SA"/>
        </w:rPr>
        <w:t>1 前言</w:t>
      </w:r>
    </w:p>
    <w:p w14:paraId="54A27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脂肪酸值是评价谷物及制品新鲜程度和储藏稳定性的重要指标，反映粮食中游离脂肪酸的含量。稻米在储藏过程中，由于脂肪酶的作用，脂肪逐渐水解产生游离脂肪酸，导致脂肪酸值升高，进而影响稻米的食用品质和加工性能。脂肪酸值是我国粮食行业衡量稻谷新陈度的关键指标，在粮食收购、储存、加工等环节具有重要的质量控制意义。</w:t>
      </w:r>
    </w:p>
    <w:p w14:paraId="7838F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传统的脂肪酸值测定采用手工滴定法，依靠指示剂颜色变化判定终点，操作繁琐且易受人为因素影响。本方案依据《GB/T 5510-2024 粮油检验 谷物及制品脂肪酸值的测定》中第二法（自动电位滴定仪法），采用自动电位滴定仪测定稻米中的脂肪酸值。该方法以pH预设终点滴定模式自动判定终点，具有操作简便、结果准确、重复性好的特点，适用于稻谷、糙米、大米等稻类谷物及其碾磨制品中脂肪酸值的快速、批量检测。</w:t>
      </w:r>
    </w:p>
    <w:p w14:paraId="04D8050C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Lines="0" w:beforeAutospacing="0" w:after="40" w:afterLines="0" w:afterAutospacing="0" w:line="300" w:lineRule="auto"/>
        <w:jc w:val="both"/>
        <w:textAlignment w:val="auto"/>
        <w:outlineLvl w:val="3"/>
        <w:rPr>
          <w:rFonts w:hint="default" w:ascii="Times New Roman" w:hAnsi="Times New Roman" w:eastAsia="黑体" w:cstheme="minorBidi"/>
          <w:bCs w:val="0"/>
          <w:kern w:val="2"/>
          <w:sz w:val="24"/>
          <w:szCs w:val="22"/>
          <w:lang w:val="en-US" w:eastAsia="zh-CN" w:bidi="ar-SA"/>
        </w:rPr>
      </w:pPr>
      <w:r>
        <w:rPr>
          <w:rFonts w:hint="default" w:ascii="Times New Roman" w:hAnsi="Times New Roman" w:eastAsia="黑体" w:cstheme="minorBidi"/>
          <w:bCs w:val="0"/>
          <w:kern w:val="2"/>
          <w:sz w:val="24"/>
          <w:szCs w:val="22"/>
          <w:lang w:val="en-US" w:eastAsia="zh-CN" w:bidi="ar-SA"/>
        </w:rPr>
        <w:t>2 仪器与试剂</w:t>
      </w:r>
    </w:p>
    <w:p w14:paraId="2A4A6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2.1 仪器</w:t>
      </w:r>
    </w:p>
    <w:p w14:paraId="70BD9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default" w:ascii="Times New Roman" w:hAnsi="Times New Roman"/>
          <w:sz w:val="22"/>
          <w:szCs w:val="28"/>
        </w:rPr>
        <w:t>HM-D系列电位滴定仪（D1-D4任一型号，或HM-DZF脂肪酸值专用型）；水相酸碱滴定专用复合pH电极；分析天平（感量0.01 g）；粉碎机（锤式旋风磨，具有风门可调节和自清理功能，避免磨膛发热）；实验砻谷机（用于稻谷脱壳）；振荡器（往返式，振幅20 mm，频率100次/min）；离心机（可选，离心加速度2000g或4000g）；具塞磨口锥形瓶（250 mL）；具塞比色管（25 mL）；滴定杯；移液管（50.0 mL、25.00 mL）；量筒；短颈玻璃漏斗；快速定性滤纸等。</w:t>
      </w:r>
    </w:p>
    <w:p w14:paraId="0A32B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ascii="黑体" w:hAnsi="黑体" w:eastAsia="黑体"/>
          <w:sz w:val="24"/>
          <w:lang w:val="en-US" w:eastAsia="zh-CN"/>
        </w:rPr>
      </w:pPr>
      <w:r>
        <w:drawing>
          <wp:inline distT="0" distB="0" distL="114300" distR="114300">
            <wp:extent cx="5727700" cy="1580515"/>
            <wp:effectExtent l="0" t="0" r="2540" b="4445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58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3C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图1：HM-D系列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电位滴定仪及前处理</w:t>
      </w:r>
      <w:r>
        <w:rPr>
          <w:rFonts w:hint="default" w:ascii="Times New Roman" w:hAnsi="Times New Roman"/>
          <w:sz w:val="22"/>
          <w:szCs w:val="28"/>
        </w:rPr>
        <w:t>设备</w:t>
      </w:r>
    </w:p>
    <w:p w14:paraId="1FAF7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2.2 试剂</w:t>
      </w:r>
    </w:p>
    <w:p w14:paraId="58D6C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无水乙醇（分析纯）；95%乙醇（分析纯）；氢氧化钾（分析纯）；百里香酚蓝指示剂；0.5%百里香酚蓝指示剂（称取0.5 g百里香酚蓝，先用少量95%乙醇溶解，再用95%乙醇定容至100 mL，密闭放置24 h后备用）；不含二氧化碳的水（将水煮沸10 min左右，加盖冷却，密闭存放）；0.2 mol/L氢氧化钾标准储备溶液（按GB/T 601配制和标定，储存于聚乙烯塑料瓶中）；0.01 mol/L氢氧化钾标准滴定溶液（移取50.00 mL 0.2 mol/L氢氧化钾标准储备溶液于1000 mL容量瓶中，用不含二氧化碳的水稀释至刻度，混匀，储存于聚乙烯塑料瓶中）。</w:t>
      </w:r>
    </w:p>
    <w:p w14:paraId="69EEC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3 实验方法</w:t>
      </w:r>
    </w:p>
    <w:p w14:paraId="5BED1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3.1 试样制备</w:t>
      </w:r>
    </w:p>
    <w:p w14:paraId="4D32C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稻谷脱壳：取混合均匀的稻谷适量，除去矿物质及大型杂质，用实验砻谷机脱壳，去净谷壳、稗粒、瘪谷等，得到净糙米。脱壳后的糙米应当天使用。</w:t>
      </w:r>
    </w:p>
    <w:p w14:paraId="3C222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粉碎：取约100 g糙米（或大米、米粉等样品），用粉碎机碾磨，使粉碎样品一次通过CQ16筛网的比例在95%以上。将粉碎样品（含筛上、筛下全部）充分混合后装入密闭容器中备用。若样品为米粉等粉状制品，可直接分取约80 g备用。</w:t>
      </w:r>
    </w:p>
    <w:p w14:paraId="29244C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水分测定：用同一粉碎样品，按GB/T 5497测定水分含量。</w:t>
      </w:r>
    </w:p>
    <w:p w14:paraId="452D5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eastAsia" w:ascii="Times New Roman" w:hAnsi="Times New Roman" w:eastAsiaTheme="minorEastAsia"/>
          <w:sz w:val="22"/>
          <w:szCs w:val="28"/>
          <w:lang w:val="en-US" w:eastAsia="zh-CN"/>
        </w:rPr>
      </w:pPr>
      <w:r>
        <w:drawing>
          <wp:inline distT="0" distB="0" distL="114300" distR="114300">
            <wp:extent cx="5396865" cy="1750060"/>
            <wp:effectExtent l="0" t="0" r="13335" b="2540"/>
            <wp:docPr id="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7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3E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eastAsiaTheme="minorEastAsia"/>
          <w:sz w:val="22"/>
          <w:szCs w:val="28"/>
          <w:lang w:val="en-US" w:eastAsia="zh-CN"/>
        </w:rPr>
      </w:pPr>
      <w:r>
        <w:rPr>
          <w:rFonts w:hint="default" w:ascii="Times New Roman" w:hAnsi="Times New Roman"/>
          <w:sz w:val="22"/>
          <w:szCs w:val="28"/>
        </w:rPr>
        <w:t>图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2</w:t>
      </w:r>
      <w:r>
        <w:rPr>
          <w:rFonts w:hint="default" w:ascii="Times New Roman" w:hAnsi="Times New Roman"/>
          <w:sz w:val="22"/>
          <w:szCs w:val="28"/>
        </w:rPr>
        <w:t>：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样品制备过程</w:t>
      </w:r>
    </w:p>
    <w:p w14:paraId="45F34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3.2 试样前处理</w:t>
      </w:r>
    </w:p>
    <w:p w14:paraId="2DA13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称取制备好的试样约10 g（精确至0.01 g）于250 mL具塞磨口锥形瓶中，用移液管准确加入50.0 mL无水乙醇，盖塞，置振荡器上振荡提取。稻类谷物及其碾磨制品振荡10 min，静置1 min～2 min。</w:t>
      </w:r>
    </w:p>
    <w:p w14:paraId="74FB7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在短颈玻璃漏斗中放入折叠式快速定性滤纸过滤，弃去最初几滴滤液，收集滤液25 mL以上于25 mL具塞比色管中，作为待测液。也可将提取液转移至离心管中，以2000g离心5 min或4000g离心3 min，取上清液作为待测液。</w:t>
      </w:r>
    </w:p>
    <w:p w14:paraId="614D1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jc w:val="center"/>
        <w:textAlignment w:val="auto"/>
      </w:pPr>
      <w:r>
        <w:drawing>
          <wp:inline distT="0" distB="0" distL="114300" distR="114300">
            <wp:extent cx="4071620" cy="1780540"/>
            <wp:effectExtent l="0" t="0" r="12700" b="2540"/>
            <wp:docPr id="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71620" cy="178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18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 w:eastAsiaTheme="minorEastAsia"/>
          <w:sz w:val="22"/>
          <w:szCs w:val="28"/>
          <w:lang w:val="en-US" w:eastAsia="zh-CN"/>
        </w:rPr>
      </w:pPr>
      <w:r>
        <w:rPr>
          <w:rFonts w:hint="default" w:ascii="Times New Roman" w:hAnsi="Times New Roman"/>
          <w:sz w:val="22"/>
          <w:szCs w:val="28"/>
        </w:rPr>
        <w:t>图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3</w:t>
      </w:r>
      <w:r>
        <w:rPr>
          <w:rFonts w:hint="default" w:ascii="Times New Roman" w:hAnsi="Times New Roman"/>
          <w:sz w:val="22"/>
          <w:szCs w:val="28"/>
        </w:rPr>
        <w:t>：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脂肪酸提取过程</w:t>
      </w:r>
    </w:p>
    <w:p w14:paraId="6BC04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3.3 电极准备</w:t>
      </w:r>
    </w:p>
    <w:p w14:paraId="7281C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实验前，用pH 4.0、7.0、9.0的标准缓冲液校正pH电极，确保电极线性在98%～102%之间。电极状态良好后方可进行后续测定。</w:t>
      </w:r>
    </w:p>
    <w:p w14:paraId="4C0CD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3.4 空白试验与终点pH设定</w:t>
      </w:r>
    </w:p>
    <w:p w14:paraId="6DDB4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移取25.00 mL无水乙醇于滴定杯中，加入50.0 mL水，滴加3滴～5滴0.5%百里香酚蓝指示剂，作为空白液。</w:t>
      </w:r>
    </w:p>
    <w:p w14:paraId="6038E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将滴定杯置于滴定仪上，插入已校正的电极和滴定管（确保电极玻璃泡和滴定管防扩散头完全浸没在液面下，且不碰壁），启动预设终点滴定模式。用0.01 mol/L氢氧化钾标准滴定溶液滴定空白液，观察百里香酚蓝指示剂由黄色变为微蓝色（30 s不消褪）时的pH值，记录此pH值作为预设终点pH（一般在9.15～9.45之间）。同时记录空白试验消耗的氢氧化钾标准滴定溶液体积V</w:t>
      </w:r>
      <w:r>
        <w:rPr>
          <w:rFonts w:hint="default" w:ascii="Times New Roman" w:hAnsi="Times New Roman"/>
          <w:sz w:val="22"/>
          <w:szCs w:val="28"/>
          <w:vertAlign w:val="subscript"/>
        </w:rPr>
        <w:t>0</w:t>
      </w:r>
      <w:r>
        <w:rPr>
          <w:rFonts w:hint="default" w:ascii="Times New Roman" w:hAnsi="Times New Roman"/>
          <w:sz w:val="22"/>
          <w:szCs w:val="28"/>
        </w:rPr>
        <w:t>。</w:t>
      </w:r>
    </w:p>
    <w:p w14:paraId="678D07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3.5 样品测定步骤</w:t>
      </w:r>
    </w:p>
    <w:p w14:paraId="3AA1E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移取25.00 mL试样提取液于滴定杯中，加入50.0 mL水，滴加3滴～5滴0.5%百里香酚蓝指示剂（用于监测终点，但不作为判定依据）。将滴定杯置于滴定仪上，插入电极和滴定管，将3.4节确定的预设终点pH值输入滴定仪参数设置中。滴定仪自动用0.01 mol/L氢氧化钾标准滴定溶液滴定至预设终点pH，记录消耗的体积V</w:t>
      </w:r>
      <w:r>
        <w:rPr>
          <w:rFonts w:hint="default" w:ascii="Times New Roman" w:hAnsi="Times New Roman"/>
          <w:sz w:val="22"/>
          <w:szCs w:val="28"/>
          <w:vertAlign w:val="subscript"/>
        </w:rPr>
        <w:t>1</w:t>
      </w:r>
      <w:r>
        <w:rPr>
          <w:rFonts w:hint="default" w:ascii="Times New Roman" w:hAnsi="Times New Roman"/>
          <w:sz w:val="22"/>
          <w:szCs w:val="28"/>
        </w:rPr>
        <w:t xml:space="preserve">。 </w:t>
      </w:r>
    </w:p>
    <w:p w14:paraId="3F03F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每个样品滴定结束后，用水充分冲洗电极和滴定管，再进行下一个样品测定。</w:t>
      </w:r>
    </w:p>
    <w:p w14:paraId="35C60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eastAsia" w:ascii="Times New Roman" w:hAnsi="Times New Roman" w:eastAsiaTheme="minorEastAsia"/>
          <w:sz w:val="22"/>
          <w:szCs w:val="28"/>
          <w:lang w:val="en-US" w:eastAsia="zh-CN"/>
        </w:rPr>
      </w:pPr>
      <w:r>
        <w:drawing>
          <wp:inline distT="0" distB="0" distL="114300" distR="114300">
            <wp:extent cx="5758815" cy="1898650"/>
            <wp:effectExtent l="0" t="0" r="1905" b="635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83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图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4</w:t>
      </w:r>
      <w:r>
        <w:rPr>
          <w:rFonts w:hint="default" w:ascii="Times New Roman" w:hAnsi="Times New Roman"/>
          <w:sz w:val="22"/>
          <w:szCs w:val="28"/>
        </w:rPr>
        <w:t>：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样品三次平行测试</w:t>
      </w:r>
    </w:p>
    <w:p w14:paraId="218A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3.</w:t>
      </w:r>
      <w:r>
        <w:rPr>
          <w:rFonts w:hint="eastAsia" w:ascii="Times New Roman" w:hAnsi="Times New Roman"/>
          <w:b/>
          <w:bCs/>
          <w:sz w:val="22"/>
          <w:szCs w:val="28"/>
          <w:lang w:val="en-US" w:eastAsia="zh-CN"/>
        </w:rPr>
        <w:t>6</w:t>
      </w:r>
      <w:r>
        <w:rPr>
          <w:rFonts w:hint="default" w:ascii="Times New Roman" w:hAnsi="Times New Roman"/>
          <w:b/>
          <w:bCs/>
          <w:sz w:val="22"/>
          <w:szCs w:val="28"/>
        </w:rPr>
        <w:t xml:space="preserve"> 电位滴定仪参数设置</w:t>
      </w:r>
    </w:p>
    <w:tbl>
      <w:tblPr>
        <w:tblStyle w:val="5"/>
        <w:tblW w:w="4706" w:type="pct"/>
        <w:tblInd w:w="4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73"/>
        <w:gridCol w:w="2962"/>
        <w:gridCol w:w="3032"/>
      </w:tblGrid>
      <w:tr w14:paraId="6AF0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  <w:tblHeader/>
        </w:trPr>
        <w:tc>
          <w:tcPr>
            <w:tcW w:w="1501" w:type="pct"/>
            <w:shd w:val="clear" w:color="auto" w:fill="auto"/>
            <w:vAlign w:val="center"/>
          </w:tcPr>
          <w:p w14:paraId="14815904">
            <w:pPr>
              <w:bidi w:val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default" w:ascii="Times New Roman" w:hAnsi="Times New Roman"/>
                <w:b/>
                <w:bCs/>
                <w:lang w:val="en-US" w:eastAsia="zh-CN"/>
              </w:rPr>
              <w:t>参数项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7C6DCF99">
            <w:pPr>
              <w:bidi w:val="0"/>
              <w:jc w:val="center"/>
              <w:rPr>
                <w:rFonts w:hint="default" w:ascii="Times New Roman" w:hAnsi="Times New Roman"/>
                <w:b/>
                <w:bCs/>
              </w:rPr>
            </w:pPr>
            <w:r>
              <w:rPr>
                <w:rFonts w:hint="default" w:ascii="Times New Roman" w:hAnsi="Times New Roman"/>
                <w:b/>
                <w:bCs/>
                <w:lang w:val="en-US" w:eastAsia="zh-CN"/>
              </w:rPr>
              <w:t>设置值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592E8409">
            <w:pPr>
              <w:bidi w:val="0"/>
              <w:jc w:val="center"/>
              <w:rPr>
                <w:rFonts w:hint="default" w:ascii="Times New Roman" w:hAnsi="Times New Roman"/>
                <w:b/>
                <w:bCs/>
              </w:rPr>
            </w:pPr>
            <w:r>
              <w:rPr>
                <w:rFonts w:hint="default" w:ascii="Times New Roman" w:hAnsi="Times New Roman"/>
                <w:b/>
                <w:bCs/>
                <w:lang w:val="en-US" w:eastAsia="zh-CN"/>
              </w:rPr>
              <w:t>说明</w:t>
            </w:r>
          </w:p>
        </w:tc>
      </w:tr>
      <w:tr w14:paraId="1D753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pct"/>
            <w:shd w:val="clear" w:color="auto" w:fill="auto"/>
            <w:vAlign w:val="center"/>
          </w:tcPr>
          <w:p w14:paraId="01E4A640">
            <w:pPr>
              <w:bidi w:val="0"/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滴定</w:t>
            </w:r>
            <w:r>
              <w:rPr>
                <w:rFonts w:hint="eastAsia" w:ascii="Times New Roman" w:hAnsi="Times New Roman"/>
                <w:lang w:val="en-US" w:eastAsia="zh-CN"/>
              </w:rPr>
              <w:t>类型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0EEF8BB0">
            <w:pPr>
              <w:bidi w:val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酸碱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075AB141">
            <w:pPr>
              <w:bidi w:val="0"/>
              <w:jc w:val="center"/>
              <w:rPr>
                <w:rFonts w:hint="default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酸碱滴定</w:t>
            </w:r>
          </w:p>
        </w:tc>
      </w:tr>
      <w:tr w14:paraId="09A6E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1501" w:type="pct"/>
            <w:shd w:val="clear" w:color="auto" w:fill="auto"/>
            <w:vAlign w:val="center"/>
          </w:tcPr>
          <w:p w14:paraId="13C9C822">
            <w:pPr>
              <w:bidi w:val="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终点</w:t>
            </w:r>
            <w:r>
              <w:rPr>
                <w:rFonts w:hint="eastAsia" w:ascii="Times New Roman" w:hAnsi="Times New Roman"/>
                <w:lang w:val="en-US" w:eastAsia="zh-CN"/>
              </w:rPr>
              <w:t>方法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4ED8FD83">
            <w:pPr>
              <w:bidi w:val="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预设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3BBE2FE3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以空白滴定确定的值为准</w:t>
            </w:r>
          </w:p>
        </w:tc>
      </w:tr>
      <w:tr w14:paraId="73E75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1501" w:type="pct"/>
            <w:shd w:val="clear" w:color="auto" w:fill="auto"/>
            <w:vAlign w:val="center"/>
          </w:tcPr>
          <w:p w14:paraId="41DF29BB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滴定方式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131673F7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动态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02E8D2DE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自动控制滴定速度</w:t>
            </w:r>
          </w:p>
        </w:tc>
      </w:tr>
      <w:tr w14:paraId="1D518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1501" w:type="pct"/>
            <w:shd w:val="clear" w:color="auto" w:fill="auto"/>
            <w:vAlign w:val="center"/>
          </w:tcPr>
          <w:p w14:paraId="00C41FC4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最小添加体积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3CDF1306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0.005mL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1ED6E9E8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精细控制</w:t>
            </w:r>
          </w:p>
        </w:tc>
      </w:tr>
      <w:tr w14:paraId="42EB9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pct"/>
            <w:shd w:val="clear" w:color="auto" w:fill="auto"/>
            <w:vAlign w:val="center"/>
          </w:tcPr>
          <w:p w14:paraId="50BD1F3B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最大添加体积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5BF96E64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0.1mL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507B700D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滴定效率</w:t>
            </w:r>
          </w:p>
        </w:tc>
      </w:tr>
      <w:tr w14:paraId="142A1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pct"/>
            <w:shd w:val="clear" w:color="auto" w:fill="auto"/>
            <w:vAlign w:val="center"/>
          </w:tcPr>
          <w:p w14:paraId="10D72869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推挤等待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38DB8348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1000ms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5E03DC30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系统平衡，数据稳定</w:t>
            </w:r>
          </w:p>
        </w:tc>
      </w:tr>
      <w:tr w14:paraId="703DF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pct"/>
            <w:shd w:val="clear" w:color="auto" w:fill="auto"/>
            <w:vAlign w:val="center"/>
          </w:tcPr>
          <w:p w14:paraId="67585430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突跃量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31D8E58C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0.2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6D7B23C2">
            <w:pPr>
              <w:bidi w:val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灵敏度调节</w:t>
            </w:r>
          </w:p>
        </w:tc>
      </w:tr>
      <w:tr w14:paraId="0014A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pct"/>
            <w:shd w:val="clear" w:color="auto" w:fill="auto"/>
            <w:vAlign w:val="center"/>
          </w:tcPr>
          <w:p w14:paraId="67D33315">
            <w:pPr>
              <w:bidi w:val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预加滴定体积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734B6C6A">
            <w:pPr>
              <w:bidi w:val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3D7BFC8E">
            <w:pPr>
              <w:bidi w:val="0"/>
              <w:jc w:val="center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未知样品，避免偏差</w:t>
            </w:r>
          </w:p>
        </w:tc>
      </w:tr>
      <w:tr w14:paraId="239C7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pct"/>
            <w:shd w:val="clear" w:color="auto" w:fill="auto"/>
            <w:vAlign w:val="center"/>
          </w:tcPr>
          <w:p w14:paraId="4EE7BB9C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搅拌速度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225219C3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中速（</w:t>
            </w:r>
            <w:r>
              <w:rPr>
                <w:rFonts w:hint="eastAsia" w:ascii="Times New Roman" w:hAnsi="Times New Roman"/>
                <w:lang w:val="en-US" w:eastAsia="zh-CN"/>
              </w:rPr>
              <w:t>9-10</w:t>
            </w:r>
            <w:r>
              <w:rPr>
                <w:rFonts w:hint="default" w:ascii="Times New Roman" w:hAnsi="Times New Roman"/>
                <w:lang w:val="en-US" w:eastAsia="zh-CN"/>
              </w:rPr>
              <w:t>）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35E6B6F7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混合均匀，防气泡</w:t>
            </w:r>
          </w:p>
        </w:tc>
      </w:tr>
      <w:tr w14:paraId="1F31D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pct"/>
            <w:shd w:val="clear" w:color="auto" w:fill="auto"/>
            <w:vAlign w:val="center"/>
          </w:tcPr>
          <w:p w14:paraId="4C3C11C7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预搅拌时间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047E6FD1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15</w:t>
            </w:r>
            <w:r>
              <w:rPr>
                <w:rFonts w:hint="default" w:ascii="Times New Roman" w:hAnsi="Times New Roman"/>
                <w:lang w:val="en-US" w:eastAsia="zh-CN"/>
              </w:rPr>
              <w:t>s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70C25533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体系均一性</w:t>
            </w:r>
          </w:p>
        </w:tc>
      </w:tr>
      <w:tr w14:paraId="6ED98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pct"/>
            <w:shd w:val="clear" w:color="auto" w:fill="auto"/>
            <w:vAlign w:val="center"/>
          </w:tcPr>
          <w:p w14:paraId="6E4BE2FE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电极类型</w:t>
            </w:r>
          </w:p>
        </w:tc>
        <w:tc>
          <w:tcPr>
            <w:tcW w:w="1728" w:type="pct"/>
            <w:shd w:val="clear" w:color="auto" w:fill="auto"/>
            <w:vAlign w:val="center"/>
          </w:tcPr>
          <w:p w14:paraId="7F73F419">
            <w:pPr>
              <w:bidi w:val="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水相酸碱</w:t>
            </w:r>
            <w:r>
              <w:rPr>
                <w:rFonts w:hint="default" w:ascii="Times New Roman" w:hAnsi="Times New Roman"/>
                <w:lang w:val="en-US" w:eastAsia="zh-CN"/>
              </w:rPr>
              <w:t>复合电极</w:t>
            </w:r>
          </w:p>
        </w:tc>
        <w:tc>
          <w:tcPr>
            <w:tcW w:w="1769" w:type="pct"/>
            <w:shd w:val="clear" w:color="auto" w:fill="auto"/>
            <w:vAlign w:val="center"/>
          </w:tcPr>
          <w:p w14:paraId="498D63FF">
            <w:pPr>
              <w:bidi w:val="0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kern w:val="2"/>
                <w:sz w:val="21"/>
                <w:szCs w:val="24"/>
                <w:lang w:val="en-US" w:eastAsia="zh-CN" w:bidi="ar-SA"/>
              </w:rPr>
              <w:t>酸碱反应</w:t>
            </w:r>
            <w:r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体系</w:t>
            </w:r>
          </w:p>
        </w:tc>
      </w:tr>
    </w:tbl>
    <w:p w14:paraId="6AADD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4 结果与讨论</w:t>
      </w:r>
    </w:p>
    <w:p w14:paraId="68895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4.1 计算公式</w:t>
      </w:r>
    </w:p>
    <w:p w14:paraId="1ED5F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rPr>
          <w:rFonts w:hint="default"/>
        </w:rPr>
      </w:pPr>
      <w:r>
        <w:rPr>
          <w:rFonts w:hint="default"/>
        </w:rPr>
        <w:t>脂肪酸值以中和100 g干物质试样中游离脂肪酸所需氢氧化钾的毫克数表示，按下式计算：</w:t>
      </w:r>
    </w:p>
    <w:p w14:paraId="4E920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jc w:val="center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drawing>
          <wp:inline distT="0" distB="0" distL="114300" distR="114300">
            <wp:extent cx="3632835" cy="444500"/>
            <wp:effectExtent l="0" t="0" r="9525" b="1270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32835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54B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式中：</w:t>
      </w:r>
    </w:p>
    <w:p w14:paraId="70001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S</w:t>
      </w:r>
      <w:r>
        <w:rPr>
          <w:rFonts w:hint="eastAsia" w:ascii="Times New Roman" w:hAnsi="Times New Roman"/>
          <w:lang w:val="en-US"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>脂肪酸值，单位为毫克每百克（mg/100g）</w:t>
      </w:r>
    </w:p>
    <w:p w14:paraId="4A07C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V</w:t>
      </w:r>
      <w:r>
        <w:rPr>
          <w:rFonts w:hint="eastAsia" w:ascii="Times New Roman" w:hAnsi="Times New Roman"/>
          <w:vertAlign w:val="subscript"/>
          <w:lang w:val="en-US" w:eastAsia="zh-CN"/>
        </w:rPr>
        <w:t>1</w:t>
      </w:r>
      <w:r>
        <w:rPr>
          <w:rFonts w:hint="eastAsia" w:ascii="Times New Roman" w:hAnsi="Times New Roman"/>
          <w:lang w:val="en-US"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>滴定试样液所耗氢氧化钾标准滴定溶液体积，单位为毫升（mL）</w:t>
      </w:r>
    </w:p>
    <w:p w14:paraId="0B386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V0</w:t>
      </w:r>
      <w:r>
        <w:rPr>
          <w:rFonts w:hint="eastAsia" w:ascii="Times New Roman" w:hAnsi="Times New Roman"/>
          <w:lang w:val="en-US"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 xml:space="preserve"> 滴定空白液所耗氢氧化钾标准滴定溶液体积，单位为毫升（mL）</w:t>
      </w:r>
    </w:p>
    <w:p w14:paraId="3F3F7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</w:rPr>
        <w:t>c</w:t>
      </w:r>
      <w:r>
        <w:rPr>
          <w:rFonts w:hint="eastAsia" w:ascii="Times New Roman" w:hAnsi="Times New Roman" w:eastAsiaTheme="minorEastAsia"/>
          <w:lang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>氢氧化钾标准滴定溶液的浓度，单位为摩尔每升（mol/L）</w:t>
      </w:r>
    </w:p>
    <w:p w14:paraId="45328D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56.1 </w:t>
      </w:r>
      <w:r>
        <w:rPr>
          <w:rFonts w:hint="eastAsia" w:ascii="Times New Roman" w:hAnsi="Times New Roman"/>
          <w:lang w:val="en-US"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>氢氧化钾的摩尔质量，单位为克每摩尔（g/mol）</w:t>
      </w:r>
    </w:p>
    <w:p w14:paraId="686C3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50</w:t>
      </w:r>
      <w:r>
        <w:rPr>
          <w:rFonts w:hint="eastAsia" w:ascii="Times New Roman" w:hAnsi="Times New Roman"/>
          <w:lang w:val="en-US"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>试样提取用无水乙醇的体积，单位为毫升（mL）</w:t>
      </w:r>
    </w:p>
    <w:p w14:paraId="653F0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25</w:t>
      </w:r>
      <w:r>
        <w:rPr>
          <w:rFonts w:hint="eastAsia" w:ascii="Times New Roman" w:hAnsi="Times New Roman"/>
          <w:lang w:val="en-US"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>用于滴定的试样提取液体积，单位为毫升（mL）</w:t>
      </w:r>
    </w:p>
    <w:p w14:paraId="4E4B3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100</w:t>
      </w:r>
      <w:r>
        <w:rPr>
          <w:rFonts w:hint="eastAsia" w:ascii="Times New Roman" w:hAnsi="Times New Roman"/>
          <w:lang w:val="en-US"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>换算为100 g干试样的质量系数</w:t>
      </w:r>
    </w:p>
    <w:p w14:paraId="181C2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eastAsia" w:ascii="Times New Roman" w:hAnsi="Times New Roman" w:eastAsiaTheme="minorEastAsia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m：</w:t>
      </w:r>
      <w:r>
        <w:rPr>
          <w:rFonts w:hint="default" w:ascii="Times New Roman" w:hAnsi="Times New Roman" w:eastAsiaTheme="minorEastAsia"/>
          <w:lang w:val="en-US" w:eastAsia="zh-CN"/>
        </w:rPr>
        <w:t>试样质量，单位为克（g）</w:t>
      </w:r>
    </w:p>
    <w:p w14:paraId="5176E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eastAsia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ω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default" w:ascii="Times New Roman" w:hAnsi="Times New Roman" w:eastAsiaTheme="minorEastAsia"/>
          <w:lang w:val="en-US" w:eastAsia="zh-CN"/>
        </w:rPr>
        <w:t>试样水分质量分数，即每100 g试样中含水分的质量，单位为克（g）</w:t>
      </w:r>
    </w:p>
    <w:p w14:paraId="76091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4.2 测试结果</w:t>
      </w:r>
    </w:p>
    <w:tbl>
      <w:tblPr>
        <w:tblStyle w:val="5"/>
        <w:tblW w:w="0" w:type="auto"/>
        <w:tblInd w:w="4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9"/>
        <w:gridCol w:w="1173"/>
        <w:gridCol w:w="1052"/>
        <w:gridCol w:w="886"/>
        <w:gridCol w:w="1062"/>
        <w:gridCol w:w="1550"/>
        <w:gridCol w:w="1579"/>
      </w:tblGrid>
      <w:tr w14:paraId="4B6A4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329" w:type="dxa"/>
            <w:shd w:val="clear" w:color="auto" w:fill="auto"/>
            <w:vAlign w:val="center"/>
          </w:tcPr>
          <w:p w14:paraId="5BE3A3A5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样品名称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7A4B937C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取样量（g）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76445475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水分（%）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44F87F7E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V</w:t>
            </w:r>
            <w:r>
              <w:rPr>
                <w:rFonts w:hint="eastAsia" w:ascii="Times New Roman" w:hAnsi="Times New Roman"/>
                <w:vertAlign w:val="subscript"/>
                <w:lang w:val="en-US" w:eastAsia="zh-CN"/>
              </w:rPr>
              <w:t>1</w:t>
            </w:r>
            <w:r>
              <w:rPr>
                <w:rFonts w:hint="default" w:ascii="Times New Roman" w:hAnsi="Times New Roman"/>
                <w:vertAlign w:val="subscript"/>
                <w:lang w:val="en-US" w:eastAsia="zh-CN"/>
              </w:rPr>
              <w:t> </w:t>
            </w:r>
            <w:r>
              <w:rPr>
                <w:rFonts w:hint="default" w:ascii="Times New Roman" w:hAnsi="Times New Roman"/>
                <w:lang w:val="en-US" w:eastAsia="zh-CN"/>
              </w:rPr>
              <w:t>(mL)</w:t>
            </w:r>
          </w:p>
        </w:tc>
        <w:tc>
          <w:tcPr>
            <w:tcW w:w="1062" w:type="dxa"/>
            <w:shd w:val="clear" w:color="auto" w:fill="auto"/>
            <w:vAlign w:val="center"/>
          </w:tcPr>
          <w:p w14:paraId="2BBB5FDF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V</w:t>
            </w:r>
            <w:r>
              <w:rPr>
                <w:rFonts w:hint="default" w:ascii="Times New Roman" w:hAnsi="Times New Roman"/>
                <w:vertAlign w:val="subscript"/>
                <w:lang w:val="en-US" w:eastAsia="zh-CN"/>
              </w:rPr>
              <w:t>0 </w:t>
            </w:r>
            <w:r>
              <w:rPr>
                <w:rFonts w:hint="default" w:ascii="Times New Roman" w:hAnsi="Times New Roman"/>
                <w:lang w:val="en-US" w:eastAsia="zh-CN"/>
              </w:rPr>
              <w:t>(mL)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AB30C55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脂肪酸值（mg/100g）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2CC21F40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平均值（mg/100g）</w:t>
            </w:r>
          </w:p>
        </w:tc>
      </w:tr>
      <w:tr w14:paraId="43978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9" w:type="dxa"/>
            <w:shd w:val="clear" w:color="auto" w:fill="auto"/>
            <w:vAlign w:val="center"/>
          </w:tcPr>
          <w:p w14:paraId="530F41AF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稻谷样品-1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7EC17576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9.9973</w:t>
            </w:r>
          </w:p>
        </w:tc>
        <w:tc>
          <w:tcPr>
            <w:tcW w:w="1052" w:type="dxa"/>
            <w:vMerge w:val="restart"/>
            <w:shd w:val="clear" w:color="auto" w:fill="auto"/>
            <w:vAlign w:val="center"/>
          </w:tcPr>
          <w:p w14:paraId="43A269AF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11.4</w:t>
            </w:r>
          </w:p>
        </w:tc>
        <w:tc>
          <w:tcPr>
            <w:tcW w:w="886" w:type="dxa"/>
            <w:shd w:val="clear" w:color="auto" w:fill="auto"/>
            <w:vAlign w:val="center"/>
          </w:tcPr>
          <w:p w14:paraId="50D31E2E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1.218</w:t>
            </w:r>
          </w:p>
        </w:tc>
        <w:tc>
          <w:tcPr>
            <w:tcW w:w="1062" w:type="dxa"/>
            <w:vMerge w:val="restart"/>
            <w:shd w:val="clear" w:color="auto" w:fill="auto"/>
            <w:vAlign w:val="center"/>
          </w:tcPr>
          <w:p w14:paraId="498519CA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0.245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6C32272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12.35</w:t>
            </w:r>
          </w:p>
        </w:tc>
        <w:tc>
          <w:tcPr>
            <w:tcW w:w="1579" w:type="dxa"/>
            <w:vMerge w:val="restart"/>
            <w:shd w:val="clear" w:color="auto" w:fill="auto"/>
            <w:vAlign w:val="center"/>
          </w:tcPr>
          <w:p w14:paraId="66305A83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12.15</w:t>
            </w:r>
          </w:p>
        </w:tc>
      </w:tr>
      <w:tr w14:paraId="28843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9" w:type="dxa"/>
            <w:shd w:val="clear" w:color="auto" w:fill="auto"/>
            <w:vAlign w:val="center"/>
          </w:tcPr>
          <w:p w14:paraId="45B191B0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稻谷样品-2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79D58A2C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9.9960</w:t>
            </w:r>
          </w:p>
        </w:tc>
        <w:tc>
          <w:tcPr>
            <w:tcW w:w="1052" w:type="dxa"/>
            <w:vMerge w:val="continue"/>
            <w:shd w:val="clear" w:color="auto" w:fill="auto"/>
            <w:vAlign w:val="center"/>
          </w:tcPr>
          <w:p w14:paraId="30C0A077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  <w:tc>
          <w:tcPr>
            <w:tcW w:w="886" w:type="dxa"/>
            <w:shd w:val="clear" w:color="auto" w:fill="auto"/>
            <w:vAlign w:val="center"/>
          </w:tcPr>
          <w:p w14:paraId="070B8DBA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1.251</w:t>
            </w: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 w14:paraId="77E3CDED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14:paraId="675B0AE2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12.71</w:t>
            </w:r>
          </w:p>
        </w:tc>
        <w:tc>
          <w:tcPr>
            <w:tcW w:w="1579" w:type="dxa"/>
            <w:vMerge w:val="continue"/>
            <w:shd w:val="clear" w:color="auto" w:fill="auto"/>
            <w:vAlign w:val="center"/>
          </w:tcPr>
          <w:p w14:paraId="771C865F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</w:tr>
      <w:tr w14:paraId="6B3DA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29" w:type="dxa"/>
            <w:shd w:val="clear" w:color="auto" w:fill="auto"/>
            <w:vAlign w:val="center"/>
          </w:tcPr>
          <w:p w14:paraId="68B97B07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稻谷</w:t>
            </w:r>
            <w:r>
              <w:rPr>
                <w:rFonts w:hint="default" w:ascii="Times New Roman" w:hAnsi="Times New Roman"/>
                <w:lang w:val="en-US" w:eastAsia="zh-CN"/>
              </w:rPr>
              <w:t>样品-</w:t>
            </w:r>
            <w:r>
              <w:rPr>
                <w:rFonts w:hint="eastAsia" w:ascii="Times New Roman" w:hAnsi="Times New Roman"/>
                <w:lang w:val="en-US" w:eastAsia="zh-CN"/>
              </w:rPr>
              <w:t>3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5B9407E9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9.9980</w:t>
            </w:r>
          </w:p>
        </w:tc>
        <w:tc>
          <w:tcPr>
            <w:tcW w:w="1052" w:type="dxa"/>
            <w:vMerge w:val="continue"/>
            <w:shd w:val="clear" w:color="auto" w:fill="auto"/>
            <w:vAlign w:val="center"/>
          </w:tcPr>
          <w:p w14:paraId="748727BC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  <w:tc>
          <w:tcPr>
            <w:tcW w:w="886" w:type="dxa"/>
            <w:shd w:val="clear" w:color="auto" w:fill="auto"/>
            <w:vAlign w:val="center"/>
          </w:tcPr>
          <w:p w14:paraId="735F11E3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1.159</w:t>
            </w:r>
          </w:p>
        </w:tc>
        <w:tc>
          <w:tcPr>
            <w:tcW w:w="1062" w:type="dxa"/>
            <w:vMerge w:val="continue"/>
            <w:shd w:val="clear" w:color="auto" w:fill="auto"/>
            <w:vAlign w:val="center"/>
          </w:tcPr>
          <w:p w14:paraId="6A42333E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  <w:tc>
          <w:tcPr>
            <w:tcW w:w="1550" w:type="dxa"/>
            <w:shd w:val="clear" w:color="auto" w:fill="auto"/>
            <w:vAlign w:val="center"/>
          </w:tcPr>
          <w:p w14:paraId="7DF7445D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11.40</w:t>
            </w:r>
          </w:p>
        </w:tc>
        <w:tc>
          <w:tcPr>
            <w:tcW w:w="1579" w:type="dxa"/>
            <w:vMerge w:val="continue"/>
            <w:shd w:val="clear" w:color="auto" w:fill="auto"/>
            <w:vAlign w:val="center"/>
          </w:tcPr>
          <w:p w14:paraId="3DE4D992">
            <w:pPr>
              <w:bidi w:val="0"/>
              <w:jc w:val="center"/>
              <w:rPr>
                <w:rFonts w:hint="default" w:ascii="Times New Roman" w:hAnsi="Times New Roman"/>
                <w:lang w:val="en-US" w:eastAsia="zh-CN"/>
              </w:rPr>
            </w:pPr>
          </w:p>
        </w:tc>
      </w:tr>
    </w:tbl>
    <w:p w14:paraId="6AE5E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default" w:ascii="Times New Roman" w:hAnsi="Times New Roman" w:eastAsiaTheme="minorEastAsia"/>
          <w:lang w:val="en-US" w:eastAsia="zh-CN"/>
        </w:rPr>
        <w:t>注：氢氧化钾标准滴定溶液浓度c = 0.0100</w:t>
      </w:r>
      <w:r>
        <w:rPr>
          <w:rFonts w:hint="eastAsia" w:ascii="Times New Roman" w:hAnsi="Times New Roman"/>
          <w:lang w:val="en-US" w:eastAsia="zh-CN"/>
        </w:rPr>
        <w:t>2</w:t>
      </w:r>
      <w:r>
        <w:rPr>
          <w:rFonts w:hint="default" w:ascii="Times New Roman" w:hAnsi="Times New Roman" w:eastAsiaTheme="minorEastAsia"/>
          <w:lang w:val="en-US" w:eastAsia="zh-CN"/>
        </w:rPr>
        <w:t>mol/L。</w:t>
      </w:r>
    </w:p>
    <w:p w14:paraId="42CA8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default" w:ascii="Times New Roman" w:hAnsi="Times New Roman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</w:p>
    <w:p w14:paraId="360EF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200" w:firstLine="0" w:firstLineChars="0"/>
        <w:textAlignment w:val="auto"/>
      </w:pPr>
      <w:bookmarkStart w:id="0" w:name="_GoBack"/>
      <w:r>
        <w:drawing>
          <wp:inline distT="0" distB="0" distL="114300" distR="114300">
            <wp:extent cx="5721985" cy="1165225"/>
            <wp:effectExtent l="0" t="0" r="825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1985" cy="116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5E45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/>
          <w:sz w:val="22"/>
          <w:szCs w:val="28"/>
        </w:rPr>
        <w:t>图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5</w:t>
      </w:r>
      <w:r>
        <w:rPr>
          <w:rFonts w:hint="default" w:ascii="Times New Roman" w:hAnsi="Times New Roman"/>
          <w:sz w:val="22"/>
          <w:szCs w:val="28"/>
        </w:rPr>
        <w:t>：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三次平行测定结果</w:t>
      </w:r>
    </w:p>
    <w:p w14:paraId="34952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4.3 精密度</w:t>
      </w:r>
    </w:p>
    <w:p w14:paraId="1E8EA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在重复性条件下获得的两次独立测定结果的绝对差值不应大于 2.0 mg/100g，符合GB/T 5510-2024标准要求。</w:t>
      </w:r>
    </w:p>
    <w:p w14:paraId="257AB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5 方案特点与优势</w:t>
      </w:r>
    </w:p>
    <w:p w14:paraId="612BC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5.1 方案合规性与权威性</w:t>
      </w:r>
    </w:p>
    <w:p w14:paraId="1D3D5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标准完备：严格遵循GB/T 5510-2024《粮油检验 谷物及制品脂肪酸值的测定》中第二法（自动电位滴定仪法），测定结果具有权威性和可比性。</w:t>
      </w:r>
    </w:p>
    <w:p w14:paraId="34129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限量明确：脂肪酸值是粮食行业评价稻谷新陈度的核心指标，本方案为稻谷收购、储存、加工等环节的质量控制提供了可靠的技术支持。</w:t>
      </w:r>
    </w:p>
    <w:p w14:paraId="660D7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5.2 针对稻米类样品的提取优势</w:t>
      </w:r>
    </w:p>
    <w:p w14:paraId="5E5EF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提取方法标准：采用国标规定的无水乙醇振荡提取法，针对稻类谷物设定10 min优化提取时间，确保游离脂肪酸提取完全。</w:t>
      </w:r>
    </w:p>
    <w:p w14:paraId="1D8D4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适用性广泛：本方法不仅适用于稻谷，也适用于糙米、大米、米粉等所有稻类谷物及其碾磨制品。</w:t>
      </w:r>
    </w:p>
    <w:p w14:paraId="0C0E0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5.3 HM-D系列仪器核心优势</w:t>
      </w:r>
    </w:p>
    <w:p w14:paraId="39EB1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终点判断客观：以pH预设终点模式自动判定终点，彻底消除手工滴定中指示剂颜色判断的人为误差。</w:t>
      </w:r>
    </w:p>
    <w:p w14:paraId="239B3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自动化程度高：滴定过程由仪器自动控制，大幅提升检测效率，尤其适合批量样品分析。</w:t>
      </w:r>
    </w:p>
    <w:p w14:paraId="6F88D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数据可追溯：完整记录滴定曲线与结果，满足质量管理体系对检测数据溯源性的要求。</w:t>
      </w:r>
    </w:p>
    <w:p w14:paraId="502D1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HM-DZF专用型号针对脂肪酸值测定进行了参数优化，预设终点pH自动匹配，操作更便捷。</w:t>
      </w:r>
    </w:p>
    <w:p w14:paraId="0FC9E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5.4 关键操作要点</w:t>
      </w:r>
    </w:p>
    <w:p w14:paraId="29C86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样品粉碎：必须使用锤式旋风磨，避免磨膛发热导致脂肪酸值变化；粉碎后样品放置时间不应超过2 h，应立即提取。</w:t>
      </w:r>
    </w:p>
    <w:p w14:paraId="77645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提取条件：振荡频率、时间严格按标准执行（稻类10 min），确保结果准确性和可比性。</w:t>
      </w:r>
    </w:p>
    <w:p w14:paraId="32F1C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温度控制：实验环境温度应控制在15℃～25℃，以保证滴定稳定性和电极响应性能。</w:t>
      </w:r>
    </w:p>
    <w:p w14:paraId="7D04F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电极维护：每次实验前校正pH电极，保持电极清洁，测定后及时清洗。</w:t>
      </w:r>
    </w:p>
    <w:p w14:paraId="3B341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提取液保存：若未能及时滴定，应将分离后的提取液密闭放置于4℃冰箱冷藏，放置时间不应超过24 h。</w:t>
      </w:r>
    </w:p>
    <w:p w14:paraId="295C4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6 结论</w:t>
      </w:r>
    </w:p>
    <w:p w14:paraId="48ECD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ind w:firstLine="440" w:firstLineChars="20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本方案为稻米中脂肪酸值的测定提供了从标准依据、样品前处理、仪器测定到结果计算的完整解决方案。方法严格遵循GB/T 5510-2024国家标准，结合HM-D系列电位滴定仪的自动化优势，能够准确、高效地评估稻谷及其制品的新鲜度和储藏品质，是粮食收储企业、质检机构及科研单位进行质量控制的可靠工具。</w:t>
      </w:r>
    </w:p>
    <w:p w14:paraId="4FB31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300" w:lineRule="auto"/>
        <w:textAlignment w:val="auto"/>
        <w:rPr>
          <w:rFonts w:hint="default" w:ascii="Times New Roman" w:hAnsi="Times New Roman"/>
          <w:b/>
          <w:bCs/>
          <w:sz w:val="22"/>
          <w:szCs w:val="28"/>
        </w:rPr>
      </w:pPr>
      <w:r>
        <w:rPr>
          <w:rFonts w:hint="default" w:ascii="Times New Roman" w:hAnsi="Times New Roman"/>
          <w:b/>
          <w:bCs/>
          <w:sz w:val="22"/>
          <w:szCs w:val="28"/>
        </w:rPr>
        <w:t>7 参考文献</w:t>
      </w:r>
    </w:p>
    <w:p w14:paraId="5C17A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37" w:leftChars="208" w:firstLine="0" w:firstLineChars="0"/>
        <w:textAlignment w:val="auto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[1] GB/T 5510-2024 粮油检验 谷物及制品脂肪酸值的测定[S].</w:t>
      </w:r>
      <w:r>
        <w:rPr>
          <w:rFonts w:hint="default" w:ascii="Times New Roman" w:hAnsi="Times New Roman"/>
          <w:sz w:val="22"/>
          <w:szCs w:val="28"/>
        </w:rPr>
        <w:br w:type="textWrapping"/>
      </w:r>
      <w:r>
        <w:rPr>
          <w:rFonts w:hint="default" w:ascii="Times New Roman" w:hAnsi="Times New Roman"/>
          <w:sz w:val="22"/>
          <w:szCs w:val="28"/>
        </w:rPr>
        <w:t>[2] GB/T 5497 粮食、油料检验 水分测定法[S].</w:t>
      </w:r>
      <w:r>
        <w:rPr>
          <w:rFonts w:hint="default" w:ascii="Times New Roman" w:hAnsi="Times New Roman"/>
          <w:sz w:val="22"/>
          <w:szCs w:val="28"/>
        </w:rPr>
        <w:br w:type="textWrapping"/>
      </w:r>
      <w:r>
        <w:rPr>
          <w:rFonts w:hint="default" w:ascii="Times New Roman" w:hAnsi="Times New Roman"/>
          <w:sz w:val="22"/>
          <w:szCs w:val="28"/>
        </w:rPr>
        <w:t>[3] GB/T 601 化学试剂 标准滴定溶液的制备[S].</w:t>
      </w:r>
    </w:p>
    <w:p w14:paraId="67CABD66">
      <w:pPr>
        <w:bidi w:val="0"/>
        <w:rPr>
          <w:rFonts w:hint="default" w:ascii="Times New Roman" w:hAnsi="Times New Roman"/>
        </w:rPr>
      </w:pPr>
      <w:r>
        <w:rPr>
          <w:rFonts w:hint="default" w:ascii="Times New Roman" w:hAnsi="Times New Roman"/>
        </w:rPr>
        <w:pict>
          <v:rect id="_x0000_i1026" o:spt="1" style="height:1.5pt;width:432pt;" fillcolor="#0F111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7BBB50A">
      <w:pPr>
        <w:bidi w:val="0"/>
        <w:rPr>
          <w:rFonts w:hint="default" w:ascii="Times New Roman" w:hAnsi="Times New Roman"/>
          <w:sz w:val="22"/>
          <w:szCs w:val="28"/>
        </w:rPr>
      </w:pPr>
      <w:r>
        <w:rPr>
          <w:rFonts w:hint="default" w:ascii="Times New Roman" w:hAnsi="Times New Roman"/>
          <w:sz w:val="22"/>
          <w:szCs w:val="28"/>
        </w:rPr>
        <w:t>本文档为通用技术方案，具体仪器操作请参考对应</w:t>
      </w:r>
      <w:r>
        <w:rPr>
          <w:rFonts w:hint="eastAsia" w:ascii="Times New Roman" w:hAnsi="Times New Roman"/>
          <w:sz w:val="22"/>
          <w:szCs w:val="28"/>
          <w:lang w:val="en-US" w:eastAsia="zh-CN"/>
        </w:rPr>
        <w:t>仪器</w:t>
      </w:r>
      <w:r>
        <w:rPr>
          <w:rFonts w:hint="default" w:ascii="Times New Roman" w:hAnsi="Times New Roman"/>
          <w:sz w:val="22"/>
          <w:szCs w:val="28"/>
        </w:rPr>
        <w:t>说明书。</w:t>
      </w:r>
    </w:p>
    <w:p w14:paraId="5505F2B2">
      <w:pPr>
        <w:bidi w:val="0"/>
      </w:pPr>
    </w:p>
    <w:p w14:paraId="1ED13E35">
      <w:pPr>
        <w:bidi w:val="0"/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61698"/>
    <w:rsid w:val="05157BA2"/>
    <w:rsid w:val="07AA2823"/>
    <w:rsid w:val="0869284C"/>
    <w:rsid w:val="0B5331D2"/>
    <w:rsid w:val="0B884C29"/>
    <w:rsid w:val="0C0D15D3"/>
    <w:rsid w:val="0D9C676A"/>
    <w:rsid w:val="0E0662D9"/>
    <w:rsid w:val="0FC43C84"/>
    <w:rsid w:val="154F3F0C"/>
    <w:rsid w:val="16691AFB"/>
    <w:rsid w:val="16F134CC"/>
    <w:rsid w:val="1BAD4238"/>
    <w:rsid w:val="287B7B98"/>
    <w:rsid w:val="2C025EDA"/>
    <w:rsid w:val="2C624426"/>
    <w:rsid w:val="2EA53B7A"/>
    <w:rsid w:val="2F3D4E9A"/>
    <w:rsid w:val="34FE6935"/>
    <w:rsid w:val="35531DB4"/>
    <w:rsid w:val="382A0C93"/>
    <w:rsid w:val="3C836BC3"/>
    <w:rsid w:val="418525A9"/>
    <w:rsid w:val="41C04416"/>
    <w:rsid w:val="48253225"/>
    <w:rsid w:val="493556E9"/>
    <w:rsid w:val="4F023B6A"/>
    <w:rsid w:val="4FCD6091"/>
    <w:rsid w:val="53DB785D"/>
    <w:rsid w:val="5F5523E3"/>
    <w:rsid w:val="69472BA3"/>
    <w:rsid w:val="6B696903"/>
    <w:rsid w:val="6BCC3834"/>
    <w:rsid w:val="6D664667"/>
    <w:rsid w:val="71D26A3E"/>
    <w:rsid w:val="72EF674F"/>
    <w:rsid w:val="75693EA1"/>
    <w:rsid w:val="766C1E9B"/>
    <w:rsid w:val="77100A78"/>
    <w:rsid w:val="771B439B"/>
    <w:rsid w:val="77C35AEB"/>
    <w:rsid w:val="794B636E"/>
    <w:rsid w:val="7AE446F6"/>
    <w:rsid w:val="7AF3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3128</Words>
  <Characters>3649</Characters>
  <Lines>0</Lines>
  <Paragraphs>0</Paragraphs>
  <TotalTime>5</TotalTime>
  <ScaleCrop>false</ScaleCrop>
  <LinksUpToDate>false</LinksUpToDate>
  <CharactersWithSpaces>3750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2026-02-14T05:12:00Z</dcterms:created>
  <dc:creator>Lenovo</dc:creator>
  <cp:lastModifiedBy>马刺不夺冠不改名</cp:lastModifiedBy>
  <dcterms:modified xsi:type="dcterms:W3CDTF">2026-03-03T01:37:14Z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eyJoZGlkIjoiMmIwODVkOTdlZTExN2QyNDNiMDM2YmZiODVmODcyYzIiLCJ1c2VySWQiOiI0NTQwNzM1MzgifQ==</vt:lpwstr>
  </property>
  <property fmtid="{D5CDD505-2E9C-101B-9397-08002B2CF9AE}" pid="4" name="ICV">
    <vt:lpwstr>2CAC1F80254242578F3DC593E212641E_12</vt:lpwstr>
  </property>
</Properties>
</file>