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B07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2A725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14:textFill>
            <w14:solidFill>
              <w14:schemeClr w14:val="tx1"/>
            </w14:solidFill>
          </w14:textFill>
        </w:rPr>
        <w:t>单效真空外循环浓缩器的操作保养规程</w:t>
      </w:r>
      <w:bookmarkEnd w:id="0"/>
    </w:p>
    <w:p w14:paraId="3D92B5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一、使用前准备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E8C5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1、确认设备：检查设备名称、规格型号、设备清洁情况、设备有无损坏、气源管路有无泄漏。 </w:t>
      </w:r>
    </w:p>
    <w:p w14:paraId="69174B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2、准备原料：将待处理物料按要求放在配料桶中，如需要混合均匀，打开搅拌器。 </w:t>
      </w:r>
    </w:p>
    <w:p w14:paraId="2ADD16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3、打开水、电、气源：确认全部设备准备就绪，先打开给水、冷水和循环水开关，再打开电源开关，等待设备预热后，打开蒸汽开关，等待压力稳定后方可开始操作。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9E937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二、操作流程 </w:t>
      </w:r>
    </w:p>
    <w:p w14:paraId="158A00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1、操作面板：按照设备说明书上的操作面板说明进行操作。 </w:t>
      </w:r>
    </w:p>
    <w:p w14:paraId="3F6852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2、控制参数：设备提供了进料量、蒸汽压力、循环水温度、真空度等多个控制参数，根据待处理物料及设备的要求进行设定。 </w:t>
      </w:r>
    </w:p>
    <w:p w14:paraId="0CB5D7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3、加料：按照操作面板要求定量添加物料。 </w:t>
      </w:r>
    </w:p>
    <w:p w14:paraId="212469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4、开始浓缩：当设定好控制参数后，按下“Start/停止"按钮，浓缩器即开始正常工作。 </w:t>
      </w:r>
    </w:p>
    <w:p w14:paraId="280D05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5、监测参数：定时观察控制参数的数据，如出现异常应及时处理。 </w:t>
      </w:r>
    </w:p>
    <w:p w14:paraId="739AFA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6、完成浓缩：浓缩结束后，先将气源、电源、水源依次关闭，按照规程对设备进行保养。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E6D83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三、保养维护 </w:t>
      </w:r>
    </w:p>
    <w:p w14:paraId="3EA036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1、清洁保养：定期清理设备内部和外表面，尽量保持设备清洁和干燥，用根据规程添加适当的润滑剂，保持设备良好的工作状态。 </w:t>
      </w:r>
    </w:p>
    <w:p w14:paraId="4B9CC8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2、定期检查：对设备的电气元件、机械元件、气源管路等进行检查和维护，确保设备运行稳定、可靠和安全</w:t>
      </w:r>
      <w:r>
        <w:rPr>
          <w:rFonts w:hint="eastAsia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6CCCD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3、更换配件：按照设备说明换易损件，保证设备顺畅运行。 </w:t>
      </w:r>
    </w:p>
    <w:p w14:paraId="71B5E8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4、定期校验：对浓缩器的测量系统、控制系统、安全保护系统等进行定期检测和校准，确保设备浓缩效率效率</w:t>
      </w:r>
      <w:r>
        <w:rPr>
          <w:rFonts w:hint="eastAsia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39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2026-03-20T02:24:15Z</dcterms:created>
  <dc:creator>Mt</dc:creator>
  <cp:lastModifiedBy>制药网阳阳</cp:lastModifiedBy>
  <dcterms:modified xsi:type="dcterms:W3CDTF">2026-03-20T02:24:53Z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4363A54DF78E40019EB812C058784017_12</vt:lpwstr>
  </property>
</Properties>
</file>